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2D3E1F00" w:rsidR="00116B51" w:rsidRPr="00DA12F7" w:rsidRDefault="00116B51" w:rsidP="00116B51">
      <w:pPr>
        <w:tabs>
          <w:tab w:val="right" w:pos="9630"/>
        </w:tabs>
        <w:spacing w:after="0"/>
      </w:pPr>
      <w:r w:rsidRPr="00DA12F7">
        <w:rPr>
          <w:rFonts w:ascii="Arial" w:hAnsi="Arial" w:cs="Arial"/>
          <w:b/>
          <w:sz w:val="24"/>
        </w:rPr>
        <w:t>3GPP TSG RAN WG1 #</w:t>
      </w:r>
      <w:r w:rsidR="00427661">
        <w:rPr>
          <w:rFonts w:ascii="Arial" w:hAnsi="Arial" w:cs="Arial"/>
          <w:b/>
          <w:sz w:val="24"/>
        </w:rPr>
        <w:t>91</w:t>
      </w:r>
      <w:r w:rsidRPr="00DA12F7">
        <w:rPr>
          <w:rFonts w:ascii="Arial" w:hAnsi="Arial" w:cs="Arial"/>
          <w:b/>
          <w:sz w:val="24"/>
        </w:rPr>
        <w:tab/>
      </w:r>
      <w:r w:rsidR="00BD4B63" w:rsidRPr="00BD4B63">
        <w:rPr>
          <w:rFonts w:ascii="Arial" w:hAnsi="Arial" w:cs="Arial"/>
          <w:b/>
          <w:sz w:val="24"/>
        </w:rPr>
        <w:t>R1-1720401</w:t>
      </w:r>
    </w:p>
    <w:p w14:paraId="50FFBAF8" w14:textId="10C75B16" w:rsidR="00116B51" w:rsidRPr="00DA12F7" w:rsidRDefault="00427661" w:rsidP="00116B51">
      <w:pPr>
        <w:tabs>
          <w:tab w:val="right" w:pos="9630"/>
        </w:tabs>
        <w:spacing w:after="0"/>
        <w:rPr>
          <w:rFonts w:ascii="Arial" w:hAnsi="Arial" w:cs="Arial"/>
          <w:b/>
          <w:sz w:val="24"/>
          <w:szCs w:val="24"/>
        </w:rPr>
      </w:pPr>
      <w:r>
        <w:rPr>
          <w:rFonts w:ascii="Arial" w:hAnsi="Arial" w:cs="Arial"/>
          <w:b/>
          <w:sz w:val="24"/>
          <w:szCs w:val="24"/>
        </w:rPr>
        <w:t>Nov.</w:t>
      </w:r>
      <w:r w:rsidR="00436496">
        <w:rPr>
          <w:rFonts w:ascii="Arial" w:hAnsi="Arial" w:cs="Arial"/>
          <w:b/>
          <w:sz w:val="24"/>
          <w:szCs w:val="24"/>
        </w:rPr>
        <w:t xml:space="preserve"> </w:t>
      </w:r>
      <w:r>
        <w:rPr>
          <w:rFonts w:ascii="Arial" w:hAnsi="Arial" w:cs="Arial"/>
          <w:b/>
          <w:sz w:val="24"/>
          <w:szCs w:val="24"/>
        </w:rPr>
        <w:t>27</w:t>
      </w:r>
      <w:r w:rsidR="00436496" w:rsidRPr="00436496">
        <w:rPr>
          <w:rFonts w:ascii="Arial" w:hAnsi="Arial" w:cs="Arial"/>
          <w:b/>
          <w:sz w:val="24"/>
          <w:szCs w:val="24"/>
          <w:vertAlign w:val="superscript"/>
        </w:rPr>
        <w:t>th</w:t>
      </w:r>
      <w:r w:rsidR="00436496">
        <w:rPr>
          <w:rFonts w:ascii="Arial" w:hAnsi="Arial" w:cs="Arial"/>
          <w:b/>
          <w:sz w:val="24"/>
          <w:szCs w:val="24"/>
        </w:rPr>
        <w:t>-</w:t>
      </w:r>
      <w:r>
        <w:rPr>
          <w:rFonts w:ascii="Arial" w:hAnsi="Arial" w:cs="Arial"/>
          <w:b/>
          <w:sz w:val="24"/>
          <w:szCs w:val="24"/>
        </w:rPr>
        <w:t xml:space="preserve"> Dec.</w:t>
      </w:r>
      <w:r w:rsidR="00436496">
        <w:rPr>
          <w:rFonts w:ascii="Arial" w:hAnsi="Arial" w:cs="Arial"/>
          <w:b/>
          <w:sz w:val="24"/>
          <w:szCs w:val="24"/>
        </w:rPr>
        <w:t>1</w:t>
      </w:r>
      <w:r w:rsidRPr="00427661">
        <w:rPr>
          <w:rFonts w:ascii="Arial" w:hAnsi="Arial" w:cs="Arial"/>
          <w:b/>
          <w:sz w:val="24"/>
          <w:szCs w:val="24"/>
          <w:vertAlign w:val="superscript"/>
        </w:rPr>
        <w:t>st</w:t>
      </w:r>
      <w:r w:rsidR="00116B51" w:rsidRPr="00DA12F7">
        <w:rPr>
          <w:rFonts w:ascii="Arial" w:hAnsi="Arial" w:cs="Arial"/>
          <w:b/>
          <w:sz w:val="24"/>
          <w:szCs w:val="24"/>
        </w:rPr>
        <w:t>, 201</w:t>
      </w:r>
      <w:r w:rsidR="004A7390">
        <w:rPr>
          <w:rFonts w:ascii="Arial" w:hAnsi="Arial" w:cs="Arial"/>
          <w:b/>
          <w:sz w:val="24"/>
          <w:szCs w:val="24"/>
        </w:rPr>
        <w:t>7</w:t>
      </w:r>
    </w:p>
    <w:p w14:paraId="7DB4A2F8" w14:textId="5E8465F6" w:rsidR="00116B51" w:rsidRPr="00DA12F7" w:rsidRDefault="00427661" w:rsidP="00116B51">
      <w:pPr>
        <w:rPr>
          <w:rFonts w:ascii="Arial" w:hAnsi="Arial" w:cs="Arial"/>
          <w:b/>
          <w:sz w:val="24"/>
          <w:szCs w:val="24"/>
        </w:rPr>
      </w:pPr>
      <w:r>
        <w:rPr>
          <w:rFonts w:ascii="Arial" w:hAnsi="Arial" w:cs="Arial"/>
          <w:b/>
          <w:sz w:val="24"/>
          <w:szCs w:val="24"/>
        </w:rPr>
        <w:t>Reno, 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58D4BD2"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36496">
        <w:rPr>
          <w:rFonts w:ascii="Arial" w:hAnsi="Arial"/>
          <w:sz w:val="24"/>
        </w:rPr>
        <w:t>6</w:t>
      </w:r>
      <w:r w:rsidR="001720D7">
        <w:rPr>
          <w:rFonts w:ascii="Arial" w:hAnsi="Arial"/>
          <w:sz w:val="24"/>
        </w:rPr>
        <w:t>.2.1</w:t>
      </w:r>
      <w:r w:rsidR="004A7390">
        <w:rPr>
          <w:rFonts w:ascii="Arial" w:hAnsi="Arial"/>
          <w:sz w:val="24"/>
        </w:rPr>
        <w:t>.</w:t>
      </w:r>
      <w:r w:rsidR="00427661">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575F22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27661" w:rsidRPr="00427661">
        <w:rPr>
          <w:rFonts w:ascii="Arial" w:hAnsi="Arial"/>
          <w:sz w:val="24"/>
        </w:rPr>
        <w:t>Remaining details of maximum TA and processing time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4B87A09" w:rsidR="00491EEE" w:rsidRDefault="00FD6A3D" w:rsidP="00491EEE">
      <w:pPr>
        <w:pStyle w:val="Heading1"/>
      </w:pPr>
      <w:r w:rsidRPr="00CC27F5">
        <w:t>1</w:t>
      </w:r>
      <w:r w:rsidRPr="00CC27F5">
        <w:tab/>
      </w:r>
      <w:r w:rsidR="004B4E2F">
        <w:t>Introduction</w:t>
      </w:r>
    </w:p>
    <w:p w14:paraId="05046C21" w14:textId="54F5959D" w:rsidR="00F514D4" w:rsidRDefault="004B4E2F" w:rsidP="004B4E2F">
      <w:pPr>
        <w:jc w:val="both"/>
      </w:pPr>
      <w:r>
        <w:rPr>
          <w:lang w:val="en-GB"/>
        </w:rPr>
        <w:t>So far, the following agreements were reached regarding the processing time and maximum TA for different configurations:</w:t>
      </w:r>
    </w:p>
    <w:p w14:paraId="551AD778" w14:textId="77777777" w:rsidR="004B4E2F" w:rsidRPr="004B4E2F" w:rsidRDefault="004B4E2F" w:rsidP="004B4E2F">
      <w:pPr>
        <w:jc w:val="both"/>
        <w:rPr>
          <w:rFonts w:asciiTheme="majorBidi" w:hAnsiTheme="majorBidi" w:cstheme="majorBidi"/>
          <w:color w:val="000000" w:themeColor="text1"/>
          <w:u w:val="single"/>
          <w:lang w:eastAsia="ja-JP"/>
        </w:rPr>
      </w:pPr>
      <w:r w:rsidRPr="004B4E2F">
        <w:rPr>
          <w:rFonts w:asciiTheme="majorBidi" w:hAnsiTheme="majorBidi" w:cstheme="majorBidi"/>
          <w:b/>
          <w:bCs/>
          <w:color w:val="000000" w:themeColor="text1"/>
          <w:highlight w:val="green"/>
          <w:u w:val="single"/>
          <w:lang w:eastAsia="ja-JP"/>
        </w:rPr>
        <w:t>Agreement:</w:t>
      </w:r>
      <w:r w:rsidRPr="004B4E2F">
        <w:rPr>
          <w:rFonts w:asciiTheme="majorBidi" w:hAnsiTheme="majorBidi" w:cstheme="majorBidi"/>
          <w:color w:val="000000" w:themeColor="text1"/>
          <w:u w:val="single"/>
          <w:lang w:eastAsia="ja-JP"/>
        </w:rPr>
        <w:t xml:space="preserve"> </w:t>
      </w:r>
    </w:p>
    <w:p w14:paraId="37CBAC2F" w14:textId="0F7D4DB5" w:rsidR="004B4E2F" w:rsidRPr="004B4E2F" w:rsidRDefault="004B4E2F" w:rsidP="004B4E2F">
      <w:pPr>
        <w:ind w:left="288"/>
        <w:jc w:val="both"/>
        <w:rPr>
          <w:rFonts w:asciiTheme="majorBidi" w:hAnsiTheme="majorBidi" w:cstheme="majorBidi"/>
          <w:i/>
          <w:iCs/>
          <w:color w:val="000000" w:themeColor="text1"/>
          <w:lang w:eastAsia="ja-JP"/>
        </w:rPr>
      </w:pPr>
      <w:r w:rsidRPr="004B4E2F">
        <w:rPr>
          <w:rFonts w:asciiTheme="majorBidi" w:hAnsiTheme="majorBidi" w:cstheme="majorBidi"/>
          <w:i/>
          <w:iCs/>
          <w:color w:val="000000" w:themeColor="text1"/>
          <w:lang w:eastAsia="ja-JP"/>
        </w:rPr>
        <w:t>If multiple processing timelines for a given sTTI combination are allowed, then only one processing timeline per PUCCH group is configured.</w:t>
      </w:r>
    </w:p>
    <w:p w14:paraId="3DBD8DD4" w14:textId="2341E9D6" w:rsidR="001F0937" w:rsidRDefault="004B4E2F" w:rsidP="004B4E2F">
      <w:pPr>
        <w:jc w:val="both"/>
        <w:rPr>
          <w:b/>
          <w:u w:val="single"/>
          <w:lang w:val="en-GB"/>
        </w:rPr>
      </w:pPr>
      <w:r w:rsidRPr="004B4E2F">
        <w:rPr>
          <w:b/>
          <w:highlight w:val="green"/>
          <w:u w:val="single"/>
          <w:lang w:val="en-GB"/>
        </w:rPr>
        <w:t>Agreement:</w:t>
      </w:r>
      <w:r w:rsidRPr="004B4E2F">
        <w:rPr>
          <w:b/>
          <w:u w:val="single"/>
          <w:lang w:val="en-GB"/>
        </w:rPr>
        <w:t xml:space="preserve"> </w:t>
      </w:r>
    </w:p>
    <w:p w14:paraId="10594AA7" w14:textId="77777777" w:rsidR="004B4E2F" w:rsidRPr="004B4E2F" w:rsidRDefault="004B4E2F" w:rsidP="004B4E2F">
      <w:pPr>
        <w:spacing w:after="0"/>
        <w:ind w:left="288"/>
        <w:jc w:val="both"/>
        <w:rPr>
          <w:i/>
          <w:iCs/>
          <w:color w:val="000000" w:themeColor="text1"/>
        </w:rPr>
      </w:pPr>
      <w:r w:rsidRPr="004B4E2F">
        <w:rPr>
          <w:i/>
          <w:iCs/>
          <w:color w:val="000000" w:themeColor="text1"/>
        </w:rPr>
        <w:t>The minimum timing for UL grant to UL data and for DL data to DL HARQ is n + k.</w:t>
      </w:r>
    </w:p>
    <w:p w14:paraId="4C918FB5" w14:textId="77777777" w:rsidR="004B4E2F" w:rsidRPr="004B4E2F" w:rsidRDefault="004B4E2F" w:rsidP="004B4E2F">
      <w:pPr>
        <w:pStyle w:val="ListParagraph"/>
        <w:numPr>
          <w:ilvl w:val="0"/>
          <w:numId w:val="32"/>
        </w:numPr>
        <w:ind w:left="648"/>
        <w:contextualSpacing w:val="0"/>
        <w:jc w:val="both"/>
        <w:rPr>
          <w:rFonts w:eastAsia="MS Mincho"/>
          <w:i/>
          <w:iCs/>
          <w:color w:val="000000" w:themeColor="text1"/>
          <w:sz w:val="20"/>
          <w:szCs w:val="20"/>
          <w:lang w:eastAsia="ja-JP"/>
        </w:rPr>
      </w:pPr>
      <w:r w:rsidRPr="004B4E2F">
        <w:rPr>
          <w:rFonts w:eastAsia="MS Mincho"/>
          <w:i/>
          <w:iCs/>
          <w:color w:val="000000" w:themeColor="text1"/>
          <w:sz w:val="20"/>
          <w:szCs w:val="20"/>
          <w:lang w:eastAsia="ja-JP"/>
        </w:rPr>
        <w:t>for DL 1-slot sTTI length or UL 1-slot sTTI length, k=4 slot sTTI</w:t>
      </w:r>
    </w:p>
    <w:p w14:paraId="0742DE96" w14:textId="77777777" w:rsidR="004B4E2F" w:rsidRPr="004B4E2F" w:rsidRDefault="004B4E2F" w:rsidP="004B4E2F">
      <w:pPr>
        <w:pStyle w:val="ListParagraph"/>
        <w:numPr>
          <w:ilvl w:val="0"/>
          <w:numId w:val="32"/>
        </w:numPr>
        <w:ind w:left="648"/>
        <w:contextualSpacing w:val="0"/>
        <w:jc w:val="both"/>
        <w:rPr>
          <w:i/>
          <w:iCs/>
          <w:color w:val="000000" w:themeColor="text1"/>
          <w:sz w:val="20"/>
          <w:szCs w:val="20"/>
          <w:lang w:eastAsia="x-none"/>
        </w:rPr>
      </w:pPr>
      <w:r w:rsidRPr="004B4E2F">
        <w:rPr>
          <w:rFonts w:eastAsia="MS Mincho"/>
          <w:i/>
          <w:iCs/>
          <w:color w:val="000000" w:themeColor="text1"/>
          <w:sz w:val="20"/>
          <w:szCs w:val="20"/>
          <w:lang w:eastAsia="ja-JP"/>
        </w:rPr>
        <w:t xml:space="preserve">for 2/3os sTTI </w:t>
      </w:r>
      <w:r w:rsidRPr="004B4E2F">
        <w:rPr>
          <w:i/>
          <w:iCs/>
          <w:color w:val="000000" w:themeColor="text1"/>
          <w:sz w:val="20"/>
          <w:szCs w:val="20"/>
          <w:lang w:eastAsia="x-none"/>
        </w:rPr>
        <w:t>two sets of two</w:t>
      </w:r>
      <w:r w:rsidRPr="004B4E2F">
        <w:rPr>
          <w:b/>
          <w:i/>
          <w:iCs/>
          <w:color w:val="000000" w:themeColor="text1"/>
          <w:sz w:val="20"/>
          <w:szCs w:val="20"/>
          <w:lang w:eastAsia="x-none"/>
        </w:rPr>
        <w:t xml:space="preserve"> </w:t>
      </w:r>
      <w:r w:rsidRPr="004B4E2F">
        <w:rPr>
          <w:i/>
          <w:iCs/>
          <w:color w:val="000000" w:themeColor="text1"/>
          <w:sz w:val="20"/>
          <w:szCs w:val="20"/>
          <w:lang w:eastAsia="x-none"/>
        </w:rPr>
        <w:t xml:space="preserve">processing timing assumptions are defined for different maximum TA support. </w:t>
      </w:r>
    </w:p>
    <w:p w14:paraId="2B61CD13" w14:textId="77777777" w:rsidR="004B4E2F" w:rsidRPr="004B4E2F" w:rsidRDefault="004B4E2F" w:rsidP="004B4E2F">
      <w:pPr>
        <w:pStyle w:val="ListParagraph"/>
        <w:numPr>
          <w:ilvl w:val="1"/>
          <w:numId w:val="32"/>
        </w:numPr>
        <w:ind w:left="1368"/>
        <w:contextualSpacing w:val="0"/>
        <w:jc w:val="both"/>
        <w:rPr>
          <w:i/>
          <w:iCs/>
          <w:color w:val="000000" w:themeColor="text1"/>
          <w:sz w:val="20"/>
          <w:szCs w:val="20"/>
          <w:lang w:eastAsia="x-none"/>
        </w:rPr>
      </w:pPr>
      <w:r w:rsidRPr="004B4E2F">
        <w:rPr>
          <w:i/>
          <w:iCs/>
          <w:color w:val="000000" w:themeColor="text1"/>
          <w:sz w:val="20"/>
          <w:szCs w:val="20"/>
          <w:lang w:eastAsia="x-none"/>
        </w:rPr>
        <w:t>Set 1 is defined with minimum timing n+4 with TA1/n+6 with TA1+4os</w:t>
      </w:r>
    </w:p>
    <w:p w14:paraId="62052EA9" w14:textId="77777777" w:rsidR="004B4E2F" w:rsidRPr="004B4E2F" w:rsidRDefault="004B4E2F" w:rsidP="004B4E2F">
      <w:pPr>
        <w:pStyle w:val="ListParagraph"/>
        <w:numPr>
          <w:ilvl w:val="1"/>
          <w:numId w:val="32"/>
        </w:numPr>
        <w:ind w:left="1368"/>
        <w:contextualSpacing w:val="0"/>
        <w:jc w:val="both"/>
        <w:rPr>
          <w:i/>
          <w:iCs/>
          <w:color w:val="000000" w:themeColor="text1"/>
          <w:sz w:val="20"/>
          <w:szCs w:val="20"/>
          <w:lang w:eastAsia="x-none"/>
        </w:rPr>
      </w:pPr>
      <w:r w:rsidRPr="004B4E2F">
        <w:rPr>
          <w:i/>
          <w:iCs/>
          <w:color w:val="000000" w:themeColor="text1"/>
          <w:sz w:val="20"/>
          <w:szCs w:val="20"/>
          <w:lang w:eastAsia="x-none"/>
        </w:rPr>
        <w:t>Set 2 is defined with minimum timing n+6 with TA2/n+8 with TA2+4os</w:t>
      </w:r>
    </w:p>
    <w:p w14:paraId="7BDC04A6" w14:textId="77777777" w:rsidR="004B4E2F" w:rsidRPr="004B4E2F" w:rsidRDefault="004B4E2F" w:rsidP="004B4E2F">
      <w:pPr>
        <w:pStyle w:val="ListParagraph"/>
        <w:numPr>
          <w:ilvl w:val="1"/>
          <w:numId w:val="32"/>
        </w:numPr>
        <w:ind w:left="1368"/>
        <w:contextualSpacing w:val="0"/>
        <w:jc w:val="both"/>
        <w:rPr>
          <w:rFonts w:eastAsia="MS Mincho"/>
          <w:i/>
          <w:iCs/>
          <w:color w:val="000000" w:themeColor="text1"/>
          <w:sz w:val="20"/>
          <w:szCs w:val="20"/>
          <w:lang w:eastAsia="ja-JP"/>
        </w:rPr>
      </w:pPr>
      <w:r w:rsidRPr="004B4E2F">
        <w:rPr>
          <w:i/>
          <w:iCs/>
          <w:color w:val="000000" w:themeColor="text1"/>
          <w:sz w:val="20"/>
          <w:szCs w:val="20"/>
          <w:lang w:eastAsia="x-none"/>
        </w:rPr>
        <w:t>FFS if different/same UEs can indicate support for different sets of processing timing assumptions.</w:t>
      </w:r>
    </w:p>
    <w:p w14:paraId="42AB4CCA" w14:textId="77777777" w:rsidR="004B4E2F" w:rsidRPr="004B4E2F" w:rsidRDefault="004B4E2F" w:rsidP="004B4E2F">
      <w:pPr>
        <w:spacing w:after="0"/>
        <w:ind w:left="288"/>
        <w:jc w:val="both"/>
        <w:rPr>
          <w:i/>
          <w:iCs/>
          <w:color w:val="000000" w:themeColor="text1"/>
        </w:rPr>
      </w:pPr>
    </w:p>
    <w:p w14:paraId="40ADBE38" w14:textId="77777777" w:rsidR="004B4E2F" w:rsidRPr="004B4E2F" w:rsidRDefault="004B4E2F" w:rsidP="004B4E2F">
      <w:pPr>
        <w:spacing w:after="0"/>
        <w:ind w:left="288"/>
        <w:jc w:val="both"/>
        <w:rPr>
          <w:rFonts w:eastAsia="MS Mincho"/>
          <w:i/>
          <w:iCs/>
          <w:color w:val="000000" w:themeColor="text1"/>
          <w:lang w:eastAsia="ja-JP"/>
        </w:rPr>
      </w:pPr>
      <w:r w:rsidRPr="004B4E2F">
        <w:rPr>
          <w:rFonts w:eastAsia="MS Mincho"/>
          <w:i/>
          <w:iCs/>
          <w:color w:val="000000" w:themeColor="text1"/>
          <w:lang w:eastAsia="ja-JP"/>
        </w:rPr>
        <w:t xml:space="preserve">Note that sTTI refers to </w:t>
      </w:r>
    </w:p>
    <w:p w14:paraId="64674634" w14:textId="77777777" w:rsidR="004B4E2F" w:rsidRPr="004B4E2F" w:rsidRDefault="004B4E2F" w:rsidP="004B4E2F">
      <w:pPr>
        <w:numPr>
          <w:ilvl w:val="0"/>
          <w:numId w:val="31"/>
        </w:numPr>
        <w:overflowPunct/>
        <w:autoSpaceDE/>
        <w:autoSpaceDN/>
        <w:adjustRightInd/>
        <w:spacing w:after="0"/>
        <w:ind w:left="1008"/>
        <w:jc w:val="both"/>
        <w:textAlignment w:val="auto"/>
        <w:rPr>
          <w:rFonts w:eastAsia="MS Mincho"/>
          <w:i/>
          <w:iCs/>
          <w:color w:val="000000" w:themeColor="text1"/>
          <w:lang w:eastAsia="ja-JP"/>
        </w:rPr>
      </w:pPr>
      <w:r w:rsidRPr="004B4E2F">
        <w:rPr>
          <w:rFonts w:eastAsia="MS Mincho"/>
          <w:i/>
          <w:iCs/>
          <w:color w:val="000000" w:themeColor="text1"/>
          <w:lang w:eastAsia="ja-JP"/>
        </w:rPr>
        <w:t xml:space="preserve">sPUSCH sTTI for the UL grant to UL data timing </w:t>
      </w:r>
    </w:p>
    <w:p w14:paraId="68FD2D41" w14:textId="77777777" w:rsidR="004B4E2F" w:rsidRPr="004B4E2F" w:rsidRDefault="004B4E2F" w:rsidP="004B4E2F">
      <w:pPr>
        <w:numPr>
          <w:ilvl w:val="0"/>
          <w:numId w:val="31"/>
        </w:numPr>
        <w:overflowPunct/>
        <w:autoSpaceDE/>
        <w:autoSpaceDN/>
        <w:adjustRightInd/>
        <w:spacing w:after="0"/>
        <w:ind w:left="1008"/>
        <w:jc w:val="both"/>
        <w:textAlignment w:val="auto"/>
        <w:rPr>
          <w:rFonts w:eastAsia="MS Mincho"/>
          <w:i/>
          <w:iCs/>
          <w:color w:val="000000" w:themeColor="text1"/>
          <w:lang w:eastAsia="ja-JP"/>
        </w:rPr>
      </w:pPr>
      <w:r w:rsidRPr="004B4E2F">
        <w:rPr>
          <w:rFonts w:eastAsia="MS Mincho"/>
          <w:i/>
          <w:iCs/>
          <w:color w:val="000000" w:themeColor="text1"/>
          <w:lang w:eastAsia="ja-JP"/>
        </w:rPr>
        <w:t>sPDSCH sTTI for the DL data to DL HARQ feedback timing</w:t>
      </w:r>
    </w:p>
    <w:p w14:paraId="53BDF3D3" w14:textId="77777777" w:rsidR="004B4E2F" w:rsidRPr="004B4E2F" w:rsidRDefault="004B4E2F" w:rsidP="004B4E2F">
      <w:pPr>
        <w:spacing w:after="0"/>
        <w:ind w:left="288"/>
        <w:jc w:val="both"/>
        <w:rPr>
          <w:rFonts w:eastAsia="MS Mincho"/>
          <w:i/>
          <w:iCs/>
          <w:color w:val="000000" w:themeColor="text1"/>
          <w:lang w:eastAsia="ja-JP"/>
        </w:rPr>
      </w:pPr>
    </w:p>
    <w:p w14:paraId="32B4874B" w14:textId="74C32779" w:rsidR="004B4E2F" w:rsidRDefault="004B4E2F" w:rsidP="004B4E2F">
      <w:pPr>
        <w:ind w:left="288"/>
        <w:jc w:val="both"/>
        <w:rPr>
          <w:rFonts w:eastAsia="MS Mincho"/>
          <w:i/>
          <w:iCs/>
          <w:color w:val="000000" w:themeColor="text1"/>
          <w:lang w:eastAsia="ja-JP"/>
        </w:rPr>
      </w:pPr>
      <w:r w:rsidRPr="004B4E2F">
        <w:rPr>
          <w:rFonts w:eastAsia="MS Mincho"/>
          <w:i/>
          <w:iCs/>
          <w:color w:val="000000" w:themeColor="text1"/>
          <w:lang w:eastAsia="ja-JP"/>
        </w:rPr>
        <w:t>NOTE: In case of {2,7} combination the minimum of the supported maximum TA values for 2/3-os and 1-slot is applied.</w:t>
      </w:r>
    </w:p>
    <w:p w14:paraId="0B9FB35B" w14:textId="69AC5BB2" w:rsidR="004B4E2F" w:rsidRDefault="004B4E2F" w:rsidP="004B4E2F">
      <w:pPr>
        <w:jc w:val="both"/>
        <w:rPr>
          <w:rFonts w:eastAsia="MS Mincho"/>
          <w:b/>
          <w:bCs/>
          <w:color w:val="000000" w:themeColor="text1"/>
          <w:u w:val="single"/>
          <w:lang w:eastAsia="ja-JP"/>
        </w:rPr>
      </w:pPr>
      <w:r w:rsidRPr="004B4E2F">
        <w:rPr>
          <w:rFonts w:eastAsia="MS Mincho"/>
          <w:b/>
          <w:bCs/>
          <w:color w:val="000000" w:themeColor="text1"/>
          <w:highlight w:val="green"/>
          <w:u w:val="single"/>
          <w:lang w:eastAsia="ja-JP"/>
        </w:rPr>
        <w:t>Agreement:</w:t>
      </w:r>
    </w:p>
    <w:p w14:paraId="4D0C8472" w14:textId="77777777" w:rsidR="004B4E2F" w:rsidRPr="004B4E2F" w:rsidRDefault="004B4E2F" w:rsidP="004B4E2F">
      <w:pPr>
        <w:overflowPunct/>
        <w:autoSpaceDE/>
        <w:autoSpaceDN/>
        <w:adjustRightInd/>
        <w:spacing w:after="0"/>
        <w:ind w:left="288"/>
        <w:jc w:val="both"/>
        <w:textAlignment w:val="auto"/>
        <w:rPr>
          <w:i/>
          <w:color w:val="000000" w:themeColor="text1"/>
          <w:lang w:eastAsia="x-none"/>
        </w:rPr>
      </w:pPr>
      <w:r w:rsidRPr="004B4E2F">
        <w:rPr>
          <w:i/>
          <w:color w:val="000000" w:themeColor="text1"/>
          <w:lang w:eastAsia="x-none"/>
        </w:rPr>
        <w:t>For 2/3os sTTI operation, related to timing advance, the UE signals its capability for 2/3os sTTI between set 1 and set 2 for:</w:t>
      </w:r>
    </w:p>
    <w:p w14:paraId="7441D623" w14:textId="77777777" w:rsidR="004B4E2F" w:rsidRPr="004B4E2F" w:rsidRDefault="004B4E2F" w:rsidP="004B4E2F">
      <w:pPr>
        <w:numPr>
          <w:ilvl w:val="0"/>
          <w:numId w:val="34"/>
        </w:numPr>
        <w:overflowPunct/>
        <w:autoSpaceDE/>
        <w:autoSpaceDN/>
        <w:adjustRightInd/>
        <w:spacing w:after="0"/>
        <w:ind w:left="1008"/>
        <w:jc w:val="both"/>
        <w:textAlignment w:val="auto"/>
        <w:rPr>
          <w:i/>
          <w:color w:val="000000" w:themeColor="text1"/>
          <w:lang w:eastAsia="x-none"/>
        </w:rPr>
      </w:pPr>
      <w:r w:rsidRPr="004B4E2F">
        <w:rPr>
          <w:i/>
          <w:color w:val="000000" w:themeColor="text1"/>
          <w:lang w:eastAsia="x-none"/>
        </w:rPr>
        <w:t>1 os CRS based sPDCCH</w:t>
      </w:r>
    </w:p>
    <w:p w14:paraId="1CC0FCEB" w14:textId="77777777" w:rsidR="004B4E2F" w:rsidRPr="004B4E2F" w:rsidRDefault="004B4E2F" w:rsidP="004B4E2F">
      <w:pPr>
        <w:numPr>
          <w:ilvl w:val="0"/>
          <w:numId w:val="34"/>
        </w:numPr>
        <w:overflowPunct/>
        <w:autoSpaceDE/>
        <w:autoSpaceDN/>
        <w:adjustRightInd/>
        <w:spacing w:after="0"/>
        <w:ind w:left="1008"/>
        <w:jc w:val="both"/>
        <w:textAlignment w:val="auto"/>
        <w:rPr>
          <w:i/>
          <w:color w:val="000000" w:themeColor="text1"/>
          <w:lang w:eastAsia="x-none"/>
        </w:rPr>
      </w:pPr>
      <w:r w:rsidRPr="004B4E2F">
        <w:rPr>
          <w:i/>
          <w:color w:val="000000" w:themeColor="text1"/>
          <w:lang w:eastAsia="x-none"/>
        </w:rPr>
        <w:t xml:space="preserve">2 os CRS based sPDCCH </w:t>
      </w:r>
    </w:p>
    <w:p w14:paraId="32B3951E" w14:textId="77777777" w:rsidR="004B4E2F" w:rsidRPr="004B4E2F" w:rsidRDefault="004B4E2F" w:rsidP="004B4E2F">
      <w:pPr>
        <w:numPr>
          <w:ilvl w:val="0"/>
          <w:numId w:val="34"/>
        </w:numPr>
        <w:overflowPunct/>
        <w:autoSpaceDE/>
        <w:autoSpaceDN/>
        <w:adjustRightInd/>
        <w:spacing w:after="0"/>
        <w:ind w:left="1008"/>
        <w:jc w:val="both"/>
        <w:textAlignment w:val="auto"/>
        <w:rPr>
          <w:i/>
          <w:color w:val="000000" w:themeColor="text1"/>
          <w:lang w:eastAsia="x-none"/>
        </w:rPr>
      </w:pPr>
      <w:r w:rsidRPr="004B4E2F">
        <w:rPr>
          <w:i/>
          <w:color w:val="000000" w:themeColor="text1"/>
          <w:lang w:eastAsia="x-none"/>
        </w:rPr>
        <w:t xml:space="preserve">DMRS based sPDCCH </w:t>
      </w:r>
    </w:p>
    <w:p w14:paraId="2E6C8042" w14:textId="77777777" w:rsidR="004B4E2F" w:rsidRPr="004B4E2F" w:rsidRDefault="004B4E2F" w:rsidP="004B4E2F">
      <w:pPr>
        <w:ind w:left="648"/>
        <w:jc w:val="both"/>
        <w:rPr>
          <w:i/>
          <w:color w:val="000000" w:themeColor="text1"/>
          <w:lang w:eastAsia="x-none"/>
        </w:rPr>
      </w:pPr>
      <w:r w:rsidRPr="00BD4B63">
        <w:rPr>
          <w:i/>
          <w:color w:val="000000" w:themeColor="text1"/>
          <w:lang w:eastAsia="x-none"/>
        </w:rPr>
        <w:t>FFS: UE capability dependent on RS type for data.</w:t>
      </w:r>
      <w:bookmarkStart w:id="2" w:name="_GoBack"/>
      <w:bookmarkEnd w:id="2"/>
    </w:p>
    <w:p w14:paraId="1446A71D" w14:textId="3869A5E5" w:rsidR="004B4E2F" w:rsidRDefault="004B4E2F" w:rsidP="004B4E2F">
      <w:pPr>
        <w:jc w:val="both"/>
        <w:rPr>
          <w:b/>
          <w:bCs/>
          <w:color w:val="000000" w:themeColor="text1"/>
          <w:u w:val="single"/>
          <w:lang w:val="en-GB"/>
        </w:rPr>
      </w:pPr>
      <w:r w:rsidRPr="004B4E2F">
        <w:rPr>
          <w:b/>
          <w:bCs/>
          <w:color w:val="000000" w:themeColor="text1"/>
          <w:highlight w:val="green"/>
          <w:u w:val="single"/>
          <w:lang w:val="en-GB"/>
        </w:rPr>
        <w:t>Agreement:</w:t>
      </w:r>
    </w:p>
    <w:p w14:paraId="3EB229ED" w14:textId="77777777" w:rsidR="004B4E2F" w:rsidRPr="004B4E2F" w:rsidRDefault="004B4E2F" w:rsidP="004B4E2F">
      <w:pPr>
        <w:ind w:left="288"/>
        <w:jc w:val="both"/>
        <w:rPr>
          <w:i/>
        </w:rPr>
      </w:pPr>
      <w:r w:rsidRPr="004B4E2F">
        <w:rPr>
          <w:i/>
        </w:rPr>
        <w:t>For {2,7} sTTI operation, the UL grant for 7OS sPUSCH in a certain slot can be sent in either one of three defined subslot DL sTTIs.</w:t>
      </w:r>
    </w:p>
    <w:p w14:paraId="53FF47F5" w14:textId="56DEBA72" w:rsidR="004B4E2F" w:rsidRPr="004B4E2F" w:rsidRDefault="004B4E2F" w:rsidP="004B4E2F">
      <w:pPr>
        <w:ind w:left="288"/>
        <w:jc w:val="both"/>
        <w:rPr>
          <w:i/>
        </w:rPr>
      </w:pPr>
      <w:r w:rsidRPr="004B4E2F">
        <w:rPr>
          <w:i/>
        </w:rPr>
        <w:t>- NOTE: The UE is expected to only receive one UL grant from the set of 2/3-symbol sTTIs mapped to a single UL slot sTTI</w:t>
      </w:r>
      <w:r>
        <w:rPr>
          <w:i/>
        </w:rPr>
        <w:t>.</w:t>
      </w:r>
    </w:p>
    <w:p w14:paraId="480E271F" w14:textId="645766B2" w:rsidR="004B4E2F" w:rsidRPr="004B4E2F" w:rsidRDefault="004B4E2F" w:rsidP="004B4E2F">
      <w:pPr>
        <w:jc w:val="both"/>
        <w:rPr>
          <w:color w:val="000000" w:themeColor="text1"/>
          <w:lang w:val="en-GB"/>
        </w:rPr>
      </w:pPr>
      <w:r w:rsidRPr="004B4E2F">
        <w:rPr>
          <w:color w:val="000000" w:themeColor="text1"/>
          <w:lang w:val="en-GB"/>
        </w:rPr>
        <w:t xml:space="preserve">This contribution paper focuses on the remaining issues of the </w:t>
      </w:r>
      <w:r w:rsidR="00BE2E45">
        <w:rPr>
          <w:color w:val="000000" w:themeColor="text1"/>
          <w:lang w:val="en-GB"/>
        </w:rPr>
        <w:t xml:space="preserve">processing timeline and maximum TA determination in different scenarios. </w:t>
      </w:r>
    </w:p>
    <w:p w14:paraId="2F77E7C7" w14:textId="2989E7B5" w:rsidR="00491EEE" w:rsidRDefault="009F34AF" w:rsidP="009F34AF">
      <w:pPr>
        <w:pStyle w:val="Heading1"/>
      </w:pPr>
      <w:r>
        <w:lastRenderedPageBreak/>
        <w:t>2</w:t>
      </w:r>
      <w:r w:rsidRPr="00CC27F5">
        <w:tab/>
      </w:r>
      <w:r>
        <w:t>Discussion</w:t>
      </w:r>
    </w:p>
    <w:p w14:paraId="75235F78" w14:textId="77777777" w:rsidR="009F34AF" w:rsidRDefault="00BE2E45" w:rsidP="00E8530B">
      <w:pPr>
        <w:jc w:val="both"/>
        <w:rPr>
          <w:lang w:val="en-GB"/>
        </w:rPr>
      </w:pPr>
      <w:r>
        <w:rPr>
          <w:lang w:val="en-GB"/>
        </w:rPr>
        <w:t>Under the 2-symbol sTTI operation, the UE can indicate its capability for supporting different processing timelines and different maximum TAs as captured by one of the two defined sets based on the number of symbols used for CRS sPDCCH, the RS type for sPDCCH, and possibly the RS type for data channel. From the UE side, it should be allowed to indicate the support for one or both sets under a given set of conditions. As an example, the UE may indicate its capability to support both sets 1 and 2 under the 1-symbol CRS-based sPDCCH and to support set 2 under the 2-symbol CRS-based sPDCCH and DMRS-based sPDCCH. The UE may then be configu</w:t>
      </w:r>
      <w:r w:rsidR="009F34AF">
        <w:rPr>
          <w:lang w:val="en-GB"/>
        </w:rPr>
        <w:t>red with two RB sets: one with a 1-symbol CRS-based sPDCCH, and the other one with a DMRS-based sPDCCH. Given that it is already agreed that the UE can be configured with only one processing timeline per PUCCH group, such a UE can only be configured with a processing timeline/maximum TAs selected from set 2.</w:t>
      </w:r>
    </w:p>
    <w:p w14:paraId="4F18AFA6" w14:textId="57C016A1" w:rsidR="00FD3822" w:rsidRDefault="009F34AF" w:rsidP="00E8530B">
      <w:pPr>
        <w:jc w:val="both"/>
        <w:rPr>
          <w:b/>
          <w:bCs/>
          <w:lang w:val="en-GB"/>
        </w:rPr>
      </w:pPr>
      <w:r w:rsidRPr="009F34AF">
        <w:rPr>
          <w:b/>
          <w:bCs/>
          <w:lang w:val="en-GB"/>
        </w:rPr>
        <w:t xml:space="preserve">Proposal 1: For a given number of symbols used for CRS-based sPDCCH, the RS type for control, and possibly the RS type for the data channel, the UE can indicate its capability to support one or both set 1 and set 2.   </w:t>
      </w:r>
    </w:p>
    <w:p w14:paraId="7F30FEEB" w14:textId="75C7997E" w:rsidR="009F34AF" w:rsidRPr="009F34AF" w:rsidRDefault="009F34AF" w:rsidP="00E8530B">
      <w:pPr>
        <w:jc w:val="both"/>
        <w:rPr>
          <w:b/>
          <w:bCs/>
          <w:lang w:val="en-GB"/>
        </w:rPr>
      </w:pPr>
      <w:r>
        <w:rPr>
          <w:b/>
          <w:bCs/>
          <w:lang w:val="en-GB"/>
        </w:rPr>
        <w:t xml:space="preserve">Proposal 2: If a UE indicates its support of set 2 for a given scenario, and is configured with the </w:t>
      </w:r>
      <w:r w:rsidRPr="009F34AF">
        <w:rPr>
          <w:b/>
          <w:bCs/>
          <w:lang w:val="en-GB"/>
        </w:rPr>
        <w:t>number of sy</w:t>
      </w:r>
      <w:r>
        <w:rPr>
          <w:b/>
          <w:bCs/>
          <w:lang w:val="en-GB"/>
        </w:rPr>
        <w:t>mbols used for CRS-based sPDCCH and the RS type for control for one RB set</w:t>
      </w:r>
      <w:r w:rsidR="00D4040A">
        <w:rPr>
          <w:b/>
          <w:bCs/>
          <w:lang w:val="en-GB"/>
        </w:rPr>
        <w:t xml:space="preserve"> as well as </w:t>
      </w:r>
      <w:r w:rsidRPr="009F34AF">
        <w:rPr>
          <w:b/>
          <w:bCs/>
          <w:lang w:val="en-GB"/>
        </w:rPr>
        <w:t>possibly the RS type for the data channel</w:t>
      </w:r>
      <w:r>
        <w:rPr>
          <w:b/>
          <w:bCs/>
          <w:lang w:val="en-GB"/>
        </w:rPr>
        <w:t xml:space="preserve"> that requi</w:t>
      </w:r>
      <w:r w:rsidR="00D4040A">
        <w:rPr>
          <w:b/>
          <w:bCs/>
          <w:lang w:val="en-GB"/>
        </w:rPr>
        <w:t>re</w:t>
      </w:r>
      <w:r>
        <w:rPr>
          <w:b/>
          <w:bCs/>
          <w:lang w:val="en-GB"/>
        </w:rPr>
        <w:t xml:space="preserve"> the operation</w:t>
      </w:r>
      <w:r w:rsidR="00D4040A">
        <w:rPr>
          <w:b/>
          <w:bCs/>
          <w:lang w:val="en-GB"/>
        </w:rPr>
        <w:t xml:space="preserve"> under set 2, its </w:t>
      </w:r>
      <w:r w:rsidR="00833482">
        <w:rPr>
          <w:b/>
          <w:bCs/>
          <w:lang w:val="en-GB"/>
        </w:rPr>
        <w:t xml:space="preserve">single </w:t>
      </w:r>
      <w:r w:rsidR="00D4040A">
        <w:rPr>
          <w:b/>
          <w:bCs/>
          <w:lang w:val="en-GB"/>
        </w:rPr>
        <w:t>configured processing timeline and maximum TA should be selected only from set 2.</w:t>
      </w:r>
      <w:r>
        <w:rPr>
          <w:b/>
          <w:bCs/>
          <w:lang w:val="en-GB"/>
        </w:rPr>
        <w:t xml:space="preserve"> </w:t>
      </w:r>
    </w:p>
    <w:p w14:paraId="5797D1FB" w14:textId="4EE0A8D1" w:rsidR="009F34AF" w:rsidRDefault="00D4040A" w:rsidP="00D4040A">
      <w:pPr>
        <w:rPr>
          <w:lang w:val="en-GB"/>
        </w:rPr>
      </w:pPr>
      <w:r>
        <w:rPr>
          <w:lang w:val="en-GB"/>
        </w:rPr>
        <w:t xml:space="preserve">In order to avoid the ambiguity in case the processing timeline of </w:t>
      </w:r>
      <m:oMath>
        <m:r>
          <w:rPr>
            <w:rFonts w:ascii="Cambria Math" w:hAnsi="Cambria Math"/>
            <w:lang w:val="en-GB"/>
          </w:rPr>
          <m:t>n+6</m:t>
        </m:r>
      </m:oMath>
      <w:r>
        <w:rPr>
          <w:lang w:val="en-GB"/>
        </w:rPr>
        <w:t xml:space="preserve"> is configured, the UE needs to be indicated which set is selected, i.e., the pair of processing timeline and the maximum TA should be indicated to the UE.</w:t>
      </w:r>
    </w:p>
    <w:p w14:paraId="1BB940CE" w14:textId="663E0556" w:rsidR="00E54A79" w:rsidRDefault="00E54A79" w:rsidP="00D4040A">
      <w:pPr>
        <w:rPr>
          <w:lang w:val="en-GB"/>
        </w:rPr>
      </w:pPr>
      <w:r>
        <w:rPr>
          <w:lang w:val="en-GB"/>
        </w:rPr>
        <w:t>One other remaining issue is the UL scheduling timing for the {2,7} configurations. Currently, there are two proposals on which subslot carries the UL grant for sPUSCH in slot#x of SF#N:</w:t>
      </w:r>
    </w:p>
    <w:p w14:paraId="6432936F" w14:textId="77777777" w:rsidR="00E54A79" w:rsidRPr="003478EB" w:rsidRDefault="00E54A79" w:rsidP="00E54A79">
      <w:pPr>
        <w:pStyle w:val="BodyText"/>
        <w:numPr>
          <w:ilvl w:val="0"/>
          <w:numId w:val="35"/>
        </w:numPr>
        <w:overflowPunct/>
        <w:autoSpaceDE/>
        <w:autoSpaceDN/>
        <w:adjustRightInd/>
        <w:spacing w:after="0"/>
        <w:textAlignment w:val="auto"/>
        <w:rPr>
          <w:lang w:eastAsia="zh-CN"/>
        </w:rPr>
      </w:pPr>
      <w:r w:rsidRPr="003478EB">
        <w:rPr>
          <w:lang w:eastAsia="zh-CN"/>
        </w:rPr>
        <w:t>Alt 1:</w:t>
      </w:r>
    </w:p>
    <w:p w14:paraId="034EF214" w14:textId="77777777" w:rsidR="00E54A79" w:rsidRPr="003478EB" w:rsidRDefault="00E54A79" w:rsidP="00E54A79">
      <w:pPr>
        <w:pStyle w:val="BodyText"/>
        <w:numPr>
          <w:ilvl w:val="1"/>
          <w:numId w:val="35"/>
        </w:numPr>
        <w:overflowPunct/>
        <w:autoSpaceDE/>
        <w:autoSpaceDN/>
        <w:adjustRightInd/>
        <w:spacing w:after="0"/>
        <w:textAlignment w:val="auto"/>
        <w:rPr>
          <w:lang w:eastAsia="zh-CN"/>
        </w:rPr>
      </w:pPr>
      <w:r w:rsidRPr="003478EB">
        <w:rPr>
          <w:lang w:eastAsia="zh-CN"/>
        </w:rPr>
        <w:t>For x=0: in sTTI#4 of SF#N-3, sTTI#5 of SF#N-3 or sTTI#0 of SF#N-2</w:t>
      </w:r>
    </w:p>
    <w:p w14:paraId="06A99A33" w14:textId="77777777" w:rsidR="00E54A79" w:rsidRPr="003478EB" w:rsidRDefault="00E54A79" w:rsidP="00E54A79">
      <w:pPr>
        <w:pStyle w:val="BodyText"/>
        <w:numPr>
          <w:ilvl w:val="1"/>
          <w:numId w:val="35"/>
        </w:numPr>
        <w:overflowPunct/>
        <w:autoSpaceDE/>
        <w:autoSpaceDN/>
        <w:adjustRightInd/>
        <w:spacing w:after="0"/>
        <w:textAlignment w:val="auto"/>
        <w:rPr>
          <w:lang w:eastAsia="zh-CN"/>
        </w:rPr>
      </w:pPr>
      <w:r w:rsidRPr="003478EB">
        <w:rPr>
          <w:lang w:eastAsia="zh-CN"/>
        </w:rPr>
        <w:t>For x=1: in sTTI#1, sTTI#2 or sTTI#3 of SF#N-2</w:t>
      </w:r>
    </w:p>
    <w:p w14:paraId="338D3B19" w14:textId="341DCE3D" w:rsidR="00E54A79" w:rsidRDefault="00E54A79" w:rsidP="00E54A79">
      <w:pPr>
        <w:pStyle w:val="BodyText"/>
        <w:numPr>
          <w:ilvl w:val="0"/>
          <w:numId w:val="35"/>
        </w:numPr>
        <w:overflowPunct/>
        <w:autoSpaceDE/>
        <w:autoSpaceDN/>
        <w:adjustRightInd/>
        <w:spacing w:after="0"/>
        <w:textAlignment w:val="auto"/>
        <w:rPr>
          <w:lang w:eastAsia="zh-CN"/>
        </w:rPr>
      </w:pPr>
      <w:r w:rsidRPr="003478EB">
        <w:rPr>
          <w:lang w:eastAsia="zh-CN"/>
        </w:rPr>
        <w:t>Alt 2: sTTI#3x, sTTI#3x+1 or sTTI#3x+2 of SF#N-2</w:t>
      </w:r>
      <w:r>
        <w:rPr>
          <w:lang w:eastAsia="zh-CN"/>
        </w:rPr>
        <w:t>.</w:t>
      </w:r>
    </w:p>
    <w:p w14:paraId="767DDC9D" w14:textId="423B6045" w:rsidR="00E54A79" w:rsidRDefault="00E54A79" w:rsidP="00E54A79">
      <w:pPr>
        <w:pStyle w:val="BodyText"/>
        <w:overflowPunct/>
        <w:autoSpaceDE/>
        <w:autoSpaceDN/>
        <w:adjustRightInd/>
        <w:spacing w:after="0"/>
        <w:textAlignment w:val="auto"/>
        <w:rPr>
          <w:lang w:eastAsia="zh-CN"/>
        </w:rPr>
      </w:pPr>
    </w:p>
    <w:p w14:paraId="498989E9" w14:textId="77777777" w:rsidR="004113F4" w:rsidRDefault="00E54A79" w:rsidP="00E54A79">
      <w:pPr>
        <w:jc w:val="both"/>
        <w:rPr>
          <w:rFonts w:eastAsia="MS Mincho"/>
          <w:color w:val="000000" w:themeColor="text1"/>
          <w:lang w:eastAsia="ja-JP"/>
        </w:rPr>
      </w:pPr>
      <w:r>
        <w:rPr>
          <w:lang w:eastAsia="zh-CN"/>
        </w:rPr>
        <w:t>It is agreed that “</w:t>
      </w:r>
      <w:r w:rsidRPr="004B4E2F">
        <w:rPr>
          <w:rFonts w:eastAsia="MS Mincho"/>
          <w:i/>
          <w:iCs/>
          <w:color w:val="000000" w:themeColor="text1"/>
          <w:lang w:eastAsia="ja-JP"/>
        </w:rPr>
        <w:t>In case of {2,7} combination the minimum of the supported maximum TA values for 2/3-os and 1-slot is applied.</w:t>
      </w:r>
      <w:r>
        <w:rPr>
          <w:rFonts w:eastAsia="MS Mincho"/>
          <w:i/>
          <w:iCs/>
          <w:color w:val="000000" w:themeColor="text1"/>
          <w:lang w:eastAsia="ja-JP"/>
        </w:rPr>
        <w:t xml:space="preserve">” </w:t>
      </w:r>
      <w:r w:rsidRPr="00E54A79">
        <w:rPr>
          <w:rFonts w:eastAsia="MS Mincho"/>
          <w:color w:val="000000" w:themeColor="text1"/>
          <w:lang w:eastAsia="ja-JP"/>
        </w:rPr>
        <w:t>However,</w:t>
      </w:r>
      <w:r>
        <w:rPr>
          <w:rFonts w:eastAsia="MS Mincho"/>
          <w:color w:val="000000" w:themeColor="text1"/>
          <w:lang w:eastAsia="ja-JP"/>
        </w:rPr>
        <w:t xml:space="preserve"> in some cases, e.g., when the subslot operation is performed under the n+8 timeline, the minimum of the maximum TA values is the maximum TA value of the slot TTI, i.e., 310us. Hence, under Alt2, if the grant is sent over the last DL sTTI, the UE’s processing timeline is effectively reduced by two 2-symbol sTTIs as compared to that of the {7,7} configuration. </w:t>
      </w:r>
      <w:r w:rsidR="004113F4">
        <w:rPr>
          <w:rFonts w:eastAsia="MS Mincho"/>
          <w:color w:val="000000" w:themeColor="text1"/>
          <w:lang w:eastAsia="ja-JP"/>
        </w:rPr>
        <w:t>On the other hand, Alt1 always guarantees that the minimum UE’s processing timeline for the {2,7} configuration is the same as that of the {7,7} configuration. Hence, we have:</w:t>
      </w:r>
    </w:p>
    <w:p w14:paraId="14AC6FE6" w14:textId="77777777" w:rsidR="004113F4" w:rsidRPr="004113F4" w:rsidRDefault="004113F4" w:rsidP="00E54A79">
      <w:pPr>
        <w:jc w:val="both"/>
        <w:rPr>
          <w:rFonts w:asciiTheme="majorBidi" w:eastAsia="MS Mincho" w:hAnsiTheme="majorBidi" w:cstheme="majorBidi"/>
          <w:b/>
          <w:bCs/>
          <w:color w:val="000000" w:themeColor="text1"/>
          <w:lang w:eastAsia="ja-JP"/>
        </w:rPr>
      </w:pPr>
      <w:r w:rsidRPr="004113F4">
        <w:rPr>
          <w:rFonts w:asciiTheme="majorBidi" w:eastAsia="MS Mincho" w:hAnsiTheme="majorBidi" w:cstheme="majorBidi"/>
          <w:b/>
          <w:bCs/>
          <w:color w:val="000000" w:themeColor="text1"/>
          <w:lang w:eastAsia="ja-JP"/>
        </w:rPr>
        <w:t>Proposal 3: Under the {2,7} configuration, the UL grant for sPUSCH in slot#x of SF#N is sent:</w:t>
      </w:r>
    </w:p>
    <w:p w14:paraId="1B9272EB" w14:textId="5FAC317D" w:rsidR="004113F4" w:rsidRPr="004113F4" w:rsidRDefault="004113F4" w:rsidP="004113F4">
      <w:pPr>
        <w:pStyle w:val="BodyText"/>
        <w:numPr>
          <w:ilvl w:val="0"/>
          <w:numId w:val="35"/>
        </w:numPr>
        <w:overflowPunct/>
        <w:autoSpaceDE/>
        <w:autoSpaceDN/>
        <w:adjustRightInd/>
        <w:spacing w:after="0"/>
        <w:textAlignment w:val="auto"/>
        <w:rPr>
          <w:rFonts w:asciiTheme="majorBidi" w:hAnsiTheme="majorBidi" w:cstheme="majorBidi"/>
          <w:b/>
          <w:bCs/>
          <w:lang w:eastAsia="zh-CN"/>
        </w:rPr>
      </w:pPr>
      <w:r w:rsidRPr="004113F4">
        <w:rPr>
          <w:rFonts w:asciiTheme="majorBidi" w:hAnsiTheme="majorBidi" w:cstheme="majorBidi"/>
          <w:b/>
          <w:bCs/>
          <w:lang w:eastAsia="zh-CN"/>
        </w:rPr>
        <w:t>For x=0: in sTTI#4 of SF#N-3, sTTI#5 of SF#N-3 or sTTI#0 of SF#N-2</w:t>
      </w:r>
    </w:p>
    <w:p w14:paraId="04FC3581" w14:textId="4B87E966" w:rsidR="00E54A79" w:rsidRPr="004113F4" w:rsidRDefault="004113F4" w:rsidP="004113F4">
      <w:pPr>
        <w:pStyle w:val="BodyText"/>
        <w:numPr>
          <w:ilvl w:val="0"/>
          <w:numId w:val="35"/>
        </w:numPr>
        <w:overflowPunct/>
        <w:autoSpaceDE/>
        <w:autoSpaceDN/>
        <w:adjustRightInd/>
        <w:spacing w:after="0"/>
        <w:textAlignment w:val="auto"/>
        <w:rPr>
          <w:rFonts w:asciiTheme="majorBidi" w:hAnsiTheme="majorBidi" w:cstheme="majorBidi"/>
          <w:b/>
          <w:bCs/>
          <w:lang w:eastAsia="zh-CN"/>
        </w:rPr>
      </w:pPr>
      <w:r w:rsidRPr="004113F4">
        <w:rPr>
          <w:rFonts w:asciiTheme="majorBidi" w:hAnsiTheme="majorBidi" w:cstheme="majorBidi"/>
          <w:b/>
          <w:bCs/>
          <w:lang w:eastAsia="zh-CN"/>
        </w:rPr>
        <w:t>For x=1: in sTTI#1, sTTI#2 or sTTI#3 of SF#N-2</w:t>
      </w:r>
    </w:p>
    <w:p w14:paraId="38288E3E" w14:textId="5ABF0284" w:rsidR="009F34AF" w:rsidRDefault="009F34AF" w:rsidP="009F34AF">
      <w:pPr>
        <w:pStyle w:val="Heading1"/>
      </w:pPr>
      <w:r>
        <w:t>3</w:t>
      </w:r>
      <w:r w:rsidRPr="00CC27F5">
        <w:tab/>
      </w:r>
      <w:r>
        <w:t xml:space="preserve">Conclusion </w:t>
      </w:r>
    </w:p>
    <w:p w14:paraId="6C396083" w14:textId="77777777" w:rsidR="009F34AF" w:rsidRDefault="009F34AF" w:rsidP="009F34AF">
      <w:pPr>
        <w:jc w:val="both"/>
        <w:rPr>
          <w:b/>
          <w:bCs/>
          <w:lang w:val="en-GB"/>
        </w:rPr>
      </w:pPr>
      <w:r w:rsidRPr="009F34AF">
        <w:rPr>
          <w:b/>
          <w:bCs/>
          <w:lang w:val="en-GB"/>
        </w:rPr>
        <w:t xml:space="preserve">Proposal 1: For a given number of symbols used for CRS-based sPDCCH, the RS type for control, and possibly the RS type for the data channel, the UE can indicate its capability to support one or both set 1 and set 2.   </w:t>
      </w:r>
    </w:p>
    <w:p w14:paraId="64920906" w14:textId="237BC1E7" w:rsidR="00D4040A" w:rsidRPr="009F34AF" w:rsidRDefault="00833482" w:rsidP="00833482">
      <w:pPr>
        <w:jc w:val="both"/>
        <w:rPr>
          <w:b/>
          <w:bCs/>
          <w:lang w:val="en-GB"/>
        </w:rPr>
      </w:pPr>
      <w:r>
        <w:rPr>
          <w:b/>
          <w:bCs/>
          <w:lang w:val="en-GB"/>
        </w:rPr>
        <w:t xml:space="preserve">Proposal 2: If a UE indicates its support of set 2 for a given scenario, and is configured with the </w:t>
      </w:r>
      <w:r w:rsidRPr="009F34AF">
        <w:rPr>
          <w:b/>
          <w:bCs/>
          <w:lang w:val="en-GB"/>
        </w:rPr>
        <w:t>number of sy</w:t>
      </w:r>
      <w:r>
        <w:rPr>
          <w:b/>
          <w:bCs/>
          <w:lang w:val="en-GB"/>
        </w:rPr>
        <w:t xml:space="preserve">mbols used for CRS-based sPDCCH and the RS type for control for one RB set as well as </w:t>
      </w:r>
      <w:r w:rsidRPr="009F34AF">
        <w:rPr>
          <w:b/>
          <w:bCs/>
          <w:lang w:val="en-GB"/>
        </w:rPr>
        <w:t>possibly the RS type for the data channel</w:t>
      </w:r>
      <w:r>
        <w:rPr>
          <w:b/>
          <w:bCs/>
          <w:lang w:val="en-GB"/>
        </w:rPr>
        <w:t xml:space="preserve"> that require the operation under set 2, its single configured processing timeline and maximum TA should be selected only from set 2. </w:t>
      </w:r>
      <w:r w:rsidR="00D4040A">
        <w:rPr>
          <w:b/>
          <w:bCs/>
          <w:lang w:val="en-GB"/>
        </w:rPr>
        <w:t xml:space="preserve"> </w:t>
      </w:r>
    </w:p>
    <w:p w14:paraId="76B5C127" w14:textId="77777777" w:rsidR="004113F4" w:rsidRPr="004113F4" w:rsidRDefault="004113F4" w:rsidP="004113F4">
      <w:pPr>
        <w:jc w:val="both"/>
        <w:rPr>
          <w:rFonts w:asciiTheme="majorBidi" w:eastAsia="MS Mincho" w:hAnsiTheme="majorBidi" w:cstheme="majorBidi"/>
          <w:b/>
          <w:bCs/>
          <w:color w:val="000000" w:themeColor="text1"/>
          <w:lang w:eastAsia="ja-JP"/>
        </w:rPr>
      </w:pPr>
      <w:r w:rsidRPr="004113F4">
        <w:rPr>
          <w:rFonts w:asciiTheme="majorBidi" w:eastAsia="MS Mincho" w:hAnsiTheme="majorBidi" w:cstheme="majorBidi"/>
          <w:b/>
          <w:bCs/>
          <w:color w:val="000000" w:themeColor="text1"/>
          <w:lang w:eastAsia="ja-JP"/>
        </w:rPr>
        <w:t>Proposal 3: Under the {2,7} configuration, the UL grant for sPUSCH in slot#x of SF#N is sent:</w:t>
      </w:r>
    </w:p>
    <w:p w14:paraId="35BFEA0F" w14:textId="77777777" w:rsidR="004113F4" w:rsidRPr="004113F4" w:rsidRDefault="004113F4" w:rsidP="004113F4">
      <w:pPr>
        <w:pStyle w:val="BodyText"/>
        <w:numPr>
          <w:ilvl w:val="0"/>
          <w:numId w:val="35"/>
        </w:numPr>
        <w:overflowPunct/>
        <w:autoSpaceDE/>
        <w:autoSpaceDN/>
        <w:adjustRightInd/>
        <w:spacing w:after="0"/>
        <w:textAlignment w:val="auto"/>
        <w:rPr>
          <w:rFonts w:asciiTheme="majorBidi" w:hAnsiTheme="majorBidi" w:cstheme="majorBidi"/>
          <w:b/>
          <w:bCs/>
          <w:lang w:eastAsia="zh-CN"/>
        </w:rPr>
      </w:pPr>
      <w:r w:rsidRPr="004113F4">
        <w:rPr>
          <w:rFonts w:asciiTheme="majorBidi" w:hAnsiTheme="majorBidi" w:cstheme="majorBidi"/>
          <w:b/>
          <w:bCs/>
          <w:lang w:eastAsia="zh-CN"/>
        </w:rPr>
        <w:t>For x=0: in sTTI#4 of SF#N-3, sTTI#5 of SF#N-3 or sTTI#0 of SF#N-2</w:t>
      </w:r>
    </w:p>
    <w:p w14:paraId="1E8302B7" w14:textId="77777777" w:rsidR="004113F4" w:rsidRPr="004113F4" w:rsidRDefault="004113F4" w:rsidP="004113F4">
      <w:pPr>
        <w:pStyle w:val="BodyText"/>
        <w:numPr>
          <w:ilvl w:val="0"/>
          <w:numId w:val="35"/>
        </w:numPr>
        <w:overflowPunct/>
        <w:autoSpaceDE/>
        <w:autoSpaceDN/>
        <w:adjustRightInd/>
        <w:spacing w:after="0"/>
        <w:textAlignment w:val="auto"/>
        <w:rPr>
          <w:rFonts w:asciiTheme="majorBidi" w:hAnsiTheme="majorBidi" w:cstheme="majorBidi"/>
          <w:b/>
          <w:bCs/>
          <w:lang w:eastAsia="zh-CN"/>
        </w:rPr>
      </w:pPr>
      <w:r w:rsidRPr="004113F4">
        <w:rPr>
          <w:rFonts w:asciiTheme="majorBidi" w:hAnsiTheme="majorBidi" w:cstheme="majorBidi"/>
          <w:b/>
          <w:bCs/>
          <w:lang w:eastAsia="zh-CN"/>
        </w:rPr>
        <w:t>For x=1: in sTTI#1, sTTI#2 or sTTI#3 of SF#N-2</w:t>
      </w:r>
    </w:p>
    <w:p w14:paraId="10B83628" w14:textId="77777777" w:rsidR="009F34AF" w:rsidRPr="00526653" w:rsidRDefault="009F34AF" w:rsidP="009F34AF">
      <w:pPr>
        <w:rPr>
          <w:lang w:val="en-GB"/>
        </w:rPr>
      </w:pPr>
    </w:p>
    <w:sectPr w:rsidR="009F34AF"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B6BB3" w14:textId="77777777" w:rsidR="000114EC" w:rsidRDefault="000114EC">
      <w:r>
        <w:separator/>
      </w:r>
    </w:p>
  </w:endnote>
  <w:endnote w:type="continuationSeparator" w:id="0">
    <w:p w14:paraId="4372B133" w14:textId="77777777" w:rsidR="000114EC" w:rsidRDefault="000114EC">
      <w:r>
        <w:continuationSeparator/>
      </w:r>
    </w:p>
  </w:endnote>
  <w:endnote w:type="continuationNotice" w:id="1">
    <w:p w14:paraId="2B65590F" w14:textId="77777777" w:rsidR="000114EC" w:rsidRDefault="00011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3A1A057"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4B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4B63">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26244" w14:textId="77777777" w:rsidR="000114EC" w:rsidRDefault="000114EC">
      <w:r>
        <w:separator/>
      </w:r>
    </w:p>
  </w:footnote>
  <w:footnote w:type="continuationSeparator" w:id="0">
    <w:p w14:paraId="3CBCBFEA" w14:textId="77777777" w:rsidR="000114EC" w:rsidRDefault="000114EC">
      <w:r>
        <w:continuationSeparator/>
      </w:r>
    </w:p>
  </w:footnote>
  <w:footnote w:type="continuationNotice" w:id="1">
    <w:p w14:paraId="2391A37B" w14:textId="77777777" w:rsidR="000114EC" w:rsidRDefault="00011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F4DBA"/>
    <w:multiLevelType w:val="hybridMultilevel"/>
    <w:tmpl w:val="57083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B6A97"/>
    <w:multiLevelType w:val="hybridMultilevel"/>
    <w:tmpl w:val="CFD835A8"/>
    <w:lvl w:ilvl="0" w:tplc="AB66D296">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1C24D9"/>
    <w:multiLevelType w:val="hybridMultilevel"/>
    <w:tmpl w:val="5B46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77F0E"/>
    <w:multiLevelType w:val="hybridMultilevel"/>
    <w:tmpl w:val="3B4ADA92"/>
    <w:lvl w:ilvl="0" w:tplc="311427E2">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8"/>
  </w:num>
  <w:num w:numId="4">
    <w:abstractNumId w:val="1"/>
  </w:num>
  <w:num w:numId="5">
    <w:abstractNumId w:val="9"/>
  </w:num>
  <w:num w:numId="6">
    <w:abstractNumId w:val="31"/>
  </w:num>
  <w:num w:numId="7">
    <w:abstractNumId w:val="14"/>
  </w:num>
  <w:num w:numId="8">
    <w:abstractNumId w:val="15"/>
  </w:num>
  <w:num w:numId="9">
    <w:abstractNumId w:val="13"/>
  </w:num>
  <w:num w:numId="10">
    <w:abstractNumId w:val="27"/>
  </w:num>
  <w:num w:numId="11">
    <w:abstractNumId w:val="3"/>
  </w:num>
  <w:num w:numId="12">
    <w:abstractNumId w:val="10"/>
  </w:num>
  <w:num w:numId="13">
    <w:abstractNumId w:val="5"/>
  </w:num>
  <w:num w:numId="14">
    <w:abstractNumId w:val="6"/>
  </w:num>
  <w:num w:numId="15">
    <w:abstractNumId w:val="21"/>
  </w:num>
  <w:num w:numId="16">
    <w:abstractNumId w:val="25"/>
  </w:num>
  <w:num w:numId="17">
    <w:abstractNumId w:val="8"/>
  </w:num>
  <w:num w:numId="18">
    <w:abstractNumId w:val="32"/>
  </w:num>
  <w:num w:numId="19">
    <w:abstractNumId w:val="24"/>
  </w:num>
  <w:num w:numId="20">
    <w:abstractNumId w:val="26"/>
  </w:num>
  <w:num w:numId="21">
    <w:abstractNumId w:val="7"/>
  </w:num>
  <w:num w:numId="22">
    <w:abstractNumId w:val="30"/>
  </w:num>
  <w:num w:numId="23">
    <w:abstractNumId w:val="28"/>
  </w:num>
  <w:num w:numId="24">
    <w:abstractNumId w:val="16"/>
  </w:num>
  <w:num w:numId="25">
    <w:abstractNumId w:val="0"/>
  </w:num>
  <w:num w:numId="26">
    <w:abstractNumId w:val="20"/>
  </w:num>
  <w:num w:numId="27">
    <w:abstractNumId w:val="22"/>
  </w:num>
  <w:num w:numId="28">
    <w:abstractNumId w:val="23"/>
  </w:num>
  <w:num w:numId="29">
    <w:abstractNumId w:val="17"/>
  </w:num>
  <w:num w:numId="30">
    <w:abstractNumId w:val="29"/>
  </w:num>
  <w:num w:numId="31">
    <w:abstractNumId w:val="34"/>
  </w:num>
  <w:num w:numId="32">
    <w:abstractNumId w:val="33"/>
  </w:num>
  <w:num w:numId="33">
    <w:abstractNumId w:val="4"/>
  </w:num>
  <w:num w:numId="34">
    <w:abstractNumId w:val="19"/>
  </w:num>
  <w:num w:numId="3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4EC"/>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B11"/>
    <w:rsid w:val="00057F6C"/>
    <w:rsid w:val="00060BE0"/>
    <w:rsid w:val="00060D34"/>
    <w:rsid w:val="00060FDB"/>
    <w:rsid w:val="000612C5"/>
    <w:rsid w:val="00062963"/>
    <w:rsid w:val="00062CA8"/>
    <w:rsid w:val="00063E21"/>
    <w:rsid w:val="00063F57"/>
    <w:rsid w:val="0006549C"/>
    <w:rsid w:val="0006556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29"/>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937"/>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0EF2"/>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1CF"/>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6A50"/>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666"/>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3F4"/>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61"/>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496"/>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4E2F"/>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7D9"/>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2AF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CD8"/>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003"/>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A20"/>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AD0"/>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640"/>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482"/>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3F5"/>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4A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A52"/>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8B6"/>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BB0"/>
    <w:rsid w:val="00B70EDB"/>
    <w:rsid w:val="00B71A5D"/>
    <w:rsid w:val="00B71F17"/>
    <w:rsid w:val="00B72444"/>
    <w:rsid w:val="00B737C7"/>
    <w:rsid w:val="00B739D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BD2"/>
    <w:rsid w:val="00BD2A08"/>
    <w:rsid w:val="00BD2A23"/>
    <w:rsid w:val="00BD2FB1"/>
    <w:rsid w:val="00BD3636"/>
    <w:rsid w:val="00BD386B"/>
    <w:rsid w:val="00BD3C69"/>
    <w:rsid w:val="00BD3D7A"/>
    <w:rsid w:val="00BD471D"/>
    <w:rsid w:val="00BD4B63"/>
    <w:rsid w:val="00BD4EA5"/>
    <w:rsid w:val="00BD567C"/>
    <w:rsid w:val="00BD5A65"/>
    <w:rsid w:val="00BD689C"/>
    <w:rsid w:val="00BD68BE"/>
    <w:rsid w:val="00BD7F9E"/>
    <w:rsid w:val="00BE09DC"/>
    <w:rsid w:val="00BE0D74"/>
    <w:rsid w:val="00BE1378"/>
    <w:rsid w:val="00BE1A06"/>
    <w:rsid w:val="00BE20F7"/>
    <w:rsid w:val="00BE2BB7"/>
    <w:rsid w:val="00BE2E45"/>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727"/>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0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5C7"/>
    <w:rsid w:val="00D957C0"/>
    <w:rsid w:val="00D95B59"/>
    <w:rsid w:val="00D95BFF"/>
    <w:rsid w:val="00D96AF8"/>
    <w:rsid w:val="00D97732"/>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06"/>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A79"/>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BF9"/>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0DA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4D4"/>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06E5"/>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character" w:customStyle="1" w:styleId="ListParagraphChar">
    <w:name w:val="List Paragraph Char"/>
    <w:link w:val="ListParagraph"/>
    <w:uiPriority w:val="34"/>
    <w:rsid w:val="004B4E2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524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E8F59FE1-587D-45D0-83F4-8FDAECCF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5</cp:revision>
  <cp:lastPrinted>2010-10-04T23:31:00Z</cp:lastPrinted>
  <dcterms:created xsi:type="dcterms:W3CDTF">2017-11-17T00:34:00Z</dcterms:created>
  <dcterms:modified xsi:type="dcterms:W3CDTF">2017-11-18T02:59:00Z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